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7E" w:rsidRPr="008A760D" w:rsidRDefault="000E0B7E" w:rsidP="000E0B7E">
      <w:pPr>
        <w:rPr>
          <w:rFonts w:ascii="Times New Roman" w:hAnsi="Times New Roman" w:cs="Times New Roman"/>
          <w:b/>
          <w:color w:val="C00000"/>
          <w:sz w:val="32"/>
          <w:szCs w:val="32"/>
          <w:lang w:val="af-ZA"/>
        </w:rPr>
      </w:pPr>
      <w:r w:rsidRPr="008A760D">
        <w:rPr>
          <w:rFonts w:ascii="Times New Roman" w:hAnsi="Times New Roman" w:cs="Times New Roman"/>
          <w:b/>
          <w:color w:val="C00000"/>
          <w:sz w:val="32"/>
          <w:szCs w:val="32"/>
          <w:lang w:val="af-ZA"/>
        </w:rPr>
        <w:t>Bring minerale terug in die grond en voedselvoorraad</w:t>
      </w:r>
    </w:p>
    <w:p w:rsidR="000E0B7E" w:rsidRPr="008A760D" w:rsidRDefault="000E0B7E" w:rsidP="000E0B7E">
      <w:pPr>
        <w:rPr>
          <w:rFonts w:ascii="Times New Roman" w:hAnsi="Times New Roman" w:cs="Times New Roman"/>
          <w:color w:val="0070C0"/>
          <w:sz w:val="16"/>
          <w:szCs w:val="16"/>
          <w:lang w:val="af-ZA"/>
        </w:rPr>
      </w:pPr>
    </w:p>
    <w:p w:rsidR="000E0B7E" w:rsidRPr="008A760D" w:rsidRDefault="000E0B7E" w:rsidP="000E0B7E">
      <w:pPr>
        <w:rPr>
          <w:rFonts w:ascii="Times New Roman" w:hAnsi="Times New Roman" w:cs="Times New Roman"/>
          <w:b/>
          <w:color w:val="0070C0"/>
          <w:sz w:val="24"/>
          <w:szCs w:val="24"/>
          <w:lang w:val="af-ZA"/>
        </w:rPr>
      </w:pPr>
      <w:r w:rsidRPr="008A760D">
        <w:rPr>
          <w:rFonts w:ascii="Times New Roman" w:hAnsi="Times New Roman" w:cs="Times New Roman"/>
          <w:b/>
          <w:color w:val="0070C0"/>
          <w:sz w:val="24"/>
          <w:szCs w:val="24"/>
          <w:lang w:val="af-ZA"/>
        </w:rPr>
        <w:t>Berig in 'n oogopslag</w:t>
      </w:r>
    </w:p>
    <w:p w:rsidR="000E0B7E" w:rsidRPr="008A760D" w:rsidRDefault="000E0B7E" w:rsidP="000E0B7E">
      <w:pPr>
        <w:numPr>
          <w:ilvl w:val="0"/>
          <w:numId w:val="1"/>
        </w:numPr>
        <w:spacing w:before="100" w:beforeAutospacing="1" w:after="100" w:afterAutospacing="1"/>
        <w:rPr>
          <w:lang w:val="af-ZA"/>
        </w:rPr>
      </w:pPr>
      <w:r w:rsidRPr="008A760D">
        <w:rPr>
          <w:lang w:val="af-ZA"/>
        </w:rPr>
        <w:t xml:space="preserve">As jy verwerkte voedsel eet, </w:t>
      </w:r>
      <w:r w:rsidRPr="008A760D">
        <w:rPr>
          <w:lang w:val="af-ZA"/>
        </w:rPr>
        <w:t xml:space="preserve">word jy blootgestel aan giftige onkruiddoders, waarvan daar toenemend bewys word dat hulle </w:t>
      </w:r>
      <w:r w:rsidRPr="008A760D">
        <w:rPr>
          <w:lang w:val="af-ZA"/>
        </w:rPr>
        <w:t xml:space="preserve">instrumenteel </w:t>
      </w:r>
      <w:r w:rsidRPr="008A760D">
        <w:rPr>
          <w:lang w:val="af-ZA"/>
        </w:rPr>
        <w:t xml:space="preserve">is </w:t>
      </w:r>
      <w:r w:rsidRPr="008A760D">
        <w:rPr>
          <w:lang w:val="af-ZA"/>
        </w:rPr>
        <w:t>in die bevordering van chroniese siektes</w:t>
      </w:r>
      <w:r w:rsidRPr="008A760D">
        <w:rPr>
          <w:lang w:val="af-ZA"/>
        </w:rPr>
        <w:t xml:space="preserve"> </w:t>
      </w:r>
    </w:p>
    <w:p w:rsidR="00046A81" w:rsidRPr="008A760D" w:rsidRDefault="000E0B7E" w:rsidP="000E0B7E">
      <w:pPr>
        <w:numPr>
          <w:ilvl w:val="0"/>
          <w:numId w:val="1"/>
        </w:numPr>
        <w:spacing w:before="100" w:beforeAutospacing="1" w:after="100" w:afterAutospacing="1"/>
        <w:rPr>
          <w:lang w:val="af-ZA"/>
        </w:rPr>
      </w:pPr>
      <w:r w:rsidRPr="008A760D">
        <w:rPr>
          <w:lang w:val="af-ZA"/>
        </w:rPr>
        <w:t>Die voortdurende uitputting van minerale in voedsel</w:t>
      </w:r>
      <w:r w:rsidRPr="008A760D">
        <w:rPr>
          <w:lang w:val="af-ZA"/>
        </w:rPr>
        <w:t>s gaan hand-aan hand met d</w:t>
      </w:r>
      <w:r w:rsidRPr="008A760D">
        <w:rPr>
          <w:lang w:val="af-ZA"/>
        </w:rPr>
        <w:t>ie progressiewe implementering van landboupraktyke soos meganisasie, stikstof-swaar bemestingstowwe</w:t>
      </w:r>
      <w:r w:rsidR="00046A81" w:rsidRPr="008A760D">
        <w:rPr>
          <w:lang w:val="af-ZA"/>
        </w:rPr>
        <w:t>,</w:t>
      </w:r>
      <w:r w:rsidRPr="008A760D">
        <w:rPr>
          <w:lang w:val="af-ZA"/>
        </w:rPr>
        <w:t xml:space="preserve"> en </w:t>
      </w:r>
      <w:r w:rsidR="00046A81" w:rsidRPr="008A760D">
        <w:rPr>
          <w:lang w:val="af-ZA"/>
        </w:rPr>
        <w:t xml:space="preserve">die gebruik van </w:t>
      </w:r>
      <w:r w:rsidRPr="008A760D">
        <w:rPr>
          <w:lang w:val="af-ZA"/>
        </w:rPr>
        <w:t>plaagdoder</w:t>
      </w:r>
      <w:r w:rsidR="00046A81" w:rsidRPr="008A760D">
        <w:rPr>
          <w:lang w:val="af-ZA"/>
        </w:rPr>
        <w:t>s – wat alles die grond beskadig</w:t>
      </w:r>
    </w:p>
    <w:p w:rsidR="000E0B7E" w:rsidRPr="008A760D" w:rsidRDefault="000E0B7E" w:rsidP="000E0B7E">
      <w:pPr>
        <w:numPr>
          <w:ilvl w:val="0"/>
          <w:numId w:val="1"/>
        </w:numPr>
        <w:spacing w:before="100" w:beforeAutospacing="1" w:after="100" w:afterAutospacing="1"/>
        <w:rPr>
          <w:lang w:val="af-ZA"/>
        </w:rPr>
      </w:pPr>
      <w:r w:rsidRPr="008A760D">
        <w:rPr>
          <w:lang w:val="af-ZA"/>
        </w:rPr>
        <w:t>Ten einde</w:t>
      </w:r>
      <w:r w:rsidR="00046A81" w:rsidRPr="008A760D">
        <w:rPr>
          <w:lang w:val="af-ZA"/>
        </w:rPr>
        <w:t xml:space="preserve">dieselfde hoeveelheid yster in te neem wat jy in </w:t>
      </w:r>
      <w:r w:rsidRPr="008A760D">
        <w:rPr>
          <w:lang w:val="af-ZA"/>
        </w:rPr>
        <w:t>1950</w:t>
      </w:r>
      <w:r w:rsidR="00046A81" w:rsidRPr="008A760D">
        <w:rPr>
          <w:lang w:val="af-ZA"/>
        </w:rPr>
        <w:t xml:space="preserve"> uit een appel ingekry het, </w:t>
      </w:r>
      <w:r w:rsidRPr="008A760D">
        <w:rPr>
          <w:lang w:val="af-ZA"/>
        </w:rPr>
        <w:t>moes jy in 1998 26 appels eet</w:t>
      </w:r>
    </w:p>
    <w:p w:rsidR="000E0B7E" w:rsidRPr="008A760D" w:rsidRDefault="000E0B7E" w:rsidP="000E0B7E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af-ZA"/>
        </w:rPr>
      </w:pPr>
      <w:r w:rsidRPr="008A760D">
        <w:rPr>
          <w:lang w:val="af-ZA"/>
        </w:rPr>
        <w:t>Ioniese mineraalekstrak</w:t>
      </w:r>
      <w:r w:rsidR="00046A81" w:rsidRPr="008A760D">
        <w:rPr>
          <w:lang w:val="af-ZA"/>
        </w:rPr>
        <w:t>te</w:t>
      </w:r>
      <w:r w:rsidRPr="008A760D">
        <w:rPr>
          <w:lang w:val="af-ZA"/>
        </w:rPr>
        <w:t xml:space="preserve"> uit </w:t>
      </w:r>
      <w:r w:rsidR="00046A81" w:rsidRPr="008A760D">
        <w:rPr>
          <w:lang w:val="af-ZA"/>
        </w:rPr>
        <w:t>see</w:t>
      </w:r>
      <w:r w:rsidRPr="008A760D">
        <w:rPr>
          <w:lang w:val="af-ZA"/>
        </w:rPr>
        <w:t>water kan in volhoubare landbou gebruik word om beskadigde grond te her</w:t>
      </w:r>
      <w:r w:rsidR="00046A81" w:rsidRPr="008A760D">
        <w:rPr>
          <w:lang w:val="af-ZA"/>
        </w:rPr>
        <w:t xml:space="preserve">mineraliseer en die voedingswaarde te verhoog van </w:t>
      </w:r>
      <w:r w:rsidR="00F34053" w:rsidRPr="008A760D">
        <w:rPr>
          <w:lang w:val="af-ZA"/>
        </w:rPr>
        <w:t>kossorte wat daarin gekweek word</w:t>
      </w:r>
    </w:p>
    <w:p w:rsidR="002F14C5" w:rsidRPr="008A760D" w:rsidRDefault="002F14C5" w:rsidP="002F14C5">
      <w:pPr>
        <w:rPr>
          <w:b/>
          <w:sz w:val="24"/>
          <w:szCs w:val="24"/>
          <w:lang w:val="af-ZA"/>
        </w:rPr>
      </w:pPr>
      <w:r w:rsidRPr="008A760D">
        <w:rPr>
          <w:rFonts w:ascii="Times New Roman" w:hAnsi="Times New Roman" w:cs="Times New Roman"/>
          <w:b/>
          <w:color w:val="0070C0"/>
          <w:sz w:val="24"/>
          <w:szCs w:val="24"/>
          <w:lang w:val="af-ZA"/>
        </w:rPr>
        <w:t>Video</w:t>
      </w:r>
      <w:r w:rsidR="00F34053" w:rsidRPr="008A760D">
        <w:rPr>
          <w:rFonts w:ascii="Times New Roman" w:hAnsi="Times New Roman" w:cs="Times New Roman"/>
          <w:b/>
          <w:color w:val="0070C0"/>
          <w:sz w:val="24"/>
          <w:szCs w:val="24"/>
          <w:lang w:val="af-ZA"/>
        </w:rPr>
        <w:t xml:space="preserve"> (Engels)</w:t>
      </w:r>
    </w:p>
    <w:p w:rsidR="002F14C5" w:rsidRPr="008A760D" w:rsidRDefault="002F14C5" w:rsidP="002F14C5">
      <w:pPr>
        <w:rPr>
          <w:lang w:val="af-ZA"/>
        </w:rPr>
      </w:pPr>
      <w:hyperlink r:id="rId8" w:history="1">
        <w:r w:rsidRPr="008A760D">
          <w:rPr>
            <w:rStyle w:val="Hyperlink"/>
            <w:lang w:val="af-ZA"/>
          </w:rPr>
          <w:t>https://youtu.be/86UJ3WYZM1Q</w:t>
        </w:r>
      </w:hyperlink>
      <w:bookmarkStart w:id="0" w:name="_GoBack"/>
      <w:bookmarkEnd w:id="0"/>
    </w:p>
    <w:p w:rsidR="002F14C5" w:rsidRPr="008A760D" w:rsidRDefault="002F14C5" w:rsidP="002F14C5">
      <w:pPr>
        <w:rPr>
          <w:lang w:val="af-ZA"/>
        </w:rPr>
      </w:pPr>
    </w:p>
    <w:p w:rsidR="002F14C5" w:rsidRPr="008A760D" w:rsidRDefault="00F34053" w:rsidP="002F14C5">
      <w:pPr>
        <w:rPr>
          <w:rFonts w:ascii="Times New Roman" w:hAnsi="Times New Roman" w:cs="Times New Roman"/>
          <w:b/>
          <w:color w:val="0070C0"/>
          <w:sz w:val="24"/>
          <w:szCs w:val="24"/>
          <w:lang w:val="af-ZA"/>
        </w:rPr>
      </w:pPr>
      <w:r w:rsidRPr="008A760D">
        <w:rPr>
          <w:rFonts w:ascii="Times New Roman" w:hAnsi="Times New Roman" w:cs="Times New Roman"/>
          <w:b/>
          <w:color w:val="0070C0"/>
          <w:sz w:val="24"/>
          <w:szCs w:val="24"/>
          <w:lang w:val="af-ZA"/>
        </w:rPr>
        <w:t>Lees die berig (Engels) op</w:t>
      </w:r>
    </w:p>
    <w:p w:rsidR="002F14C5" w:rsidRPr="008A760D" w:rsidRDefault="002F14C5" w:rsidP="002F14C5">
      <w:pPr>
        <w:rPr>
          <w:lang w:val="af-ZA"/>
        </w:rPr>
      </w:pPr>
      <w:hyperlink r:id="rId9" w:history="1">
        <w:r w:rsidRPr="008A760D">
          <w:rPr>
            <w:rStyle w:val="Hyperlink"/>
            <w:lang w:val="af-ZA"/>
          </w:rPr>
          <w:t>https://articles.mercola.com/sites/articles/archive/2014/05/25/food-minerals-soil-health.aspx</w:t>
        </w:r>
      </w:hyperlink>
    </w:p>
    <w:p w:rsidR="002F14C5" w:rsidRPr="008A760D" w:rsidRDefault="00F34053" w:rsidP="002F14C5">
      <w:pPr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8A760D">
        <w:rPr>
          <w:rFonts w:ascii="Times New Roman" w:hAnsi="Times New Roman" w:cs="Times New Roman"/>
          <w:b/>
          <w:color w:val="0070C0"/>
          <w:sz w:val="24"/>
          <w:szCs w:val="24"/>
          <w:lang w:val="af-ZA"/>
        </w:rPr>
        <w:t>Bron</w:t>
      </w:r>
      <w:r w:rsidR="002F14C5" w:rsidRPr="008A760D">
        <w:rPr>
          <w:lang w:val="af-ZA"/>
        </w:rPr>
        <w:t xml:space="preserve">  </w:t>
      </w:r>
      <w:r w:rsidR="002F14C5" w:rsidRPr="008A760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af-ZA"/>
        </w:rPr>
        <w:drawing>
          <wp:inline distT="0" distB="0" distL="0" distR="0" wp14:anchorId="7F7DC56F" wp14:editId="170C32DB">
            <wp:extent cx="2099310" cy="524510"/>
            <wp:effectExtent l="0" t="0" r="0" b="8890"/>
            <wp:docPr id="2" name="Picture 2" descr="Mercola.co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ola.co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C5" w:rsidRPr="008A760D" w:rsidRDefault="002F14C5" w:rsidP="002F14C5">
      <w:pPr>
        <w:rPr>
          <w:lang w:val="af-ZA"/>
        </w:rPr>
      </w:pPr>
      <w:hyperlink r:id="rId12" w:history="1">
        <w:r w:rsidRPr="008A760D">
          <w:rPr>
            <w:rStyle w:val="Hyperlink"/>
            <w:lang w:val="af-ZA"/>
          </w:rPr>
          <w:t>https://articles.mercola.com/sites/articles/archive/2014/05/25/food-minerals-soil-health.aspx</w:t>
        </w:r>
      </w:hyperlink>
    </w:p>
    <w:p w:rsidR="004171B5" w:rsidRPr="008A760D" w:rsidRDefault="00F34053" w:rsidP="004171B5">
      <w:pPr>
        <w:pStyle w:val="Heading3"/>
        <w:rPr>
          <w:rFonts w:ascii="Times New Roman" w:hAnsi="Times New Roman" w:cs="Times New Roman"/>
          <w:color w:val="C00000"/>
          <w:sz w:val="20"/>
          <w:lang w:val="af-ZA"/>
        </w:rPr>
      </w:pPr>
      <w:r w:rsidRPr="008A760D">
        <w:rPr>
          <w:rFonts w:ascii="Times New Roman" w:hAnsi="Times New Roman" w:cs="Times New Roman"/>
          <w:color w:val="C00000"/>
          <w:sz w:val="20"/>
          <w:lang w:val="af-ZA"/>
        </w:rPr>
        <w:t>TIPIESE PRODUKSPESIFIKASIES VAN ONS DIATOMIET</w:t>
      </w:r>
      <w:r w:rsidR="004171B5" w:rsidRPr="008A760D">
        <w:rPr>
          <w:rFonts w:ascii="Times New Roman" w:hAnsi="Times New Roman" w:cs="Times New Roman"/>
          <w:color w:val="C00000"/>
          <w:sz w:val="20"/>
          <w:lang w:val="af-ZA"/>
        </w:rPr>
        <w:t>:</w:t>
      </w:r>
    </w:p>
    <w:tbl>
      <w:tblPr>
        <w:tblpPr w:leftFromText="180" w:rightFromText="180" w:vertAnchor="text" w:horzAnchor="margin" w:tblpXSpec="right" w:tblpY="230"/>
        <w:tblW w:w="43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210"/>
      </w:tblGrid>
      <w:tr w:rsidR="004171B5" w:rsidRPr="008A760D" w:rsidTr="007A0043">
        <w:trPr>
          <w:trHeight w:val="284"/>
        </w:trPr>
        <w:tc>
          <w:tcPr>
            <w:tcW w:w="4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171B5" w:rsidRPr="008A760D" w:rsidRDefault="00F34053" w:rsidP="00F34053">
            <w:pPr>
              <w:pStyle w:val="Heading5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af-ZA"/>
              </w:rPr>
            </w:pPr>
            <w:r w:rsidRPr="008A760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af-ZA"/>
              </w:rPr>
              <w:t>BELANGRIKE CHEMIESE ELEMENTE</w:t>
            </w:r>
          </w:p>
        </w:tc>
      </w:tr>
      <w:tr w:rsidR="004171B5" w:rsidRPr="008A760D" w:rsidTr="007A0043">
        <w:trPr>
          <w:trHeight w:val="2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SiO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vertAlign w:val="subscript"/>
                <w:lang w:val="af-ZA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89.00%</w:t>
            </w:r>
          </w:p>
        </w:tc>
      </w:tr>
      <w:tr w:rsidR="004171B5" w:rsidRPr="008A760D" w:rsidTr="007A0043">
        <w:trPr>
          <w:trHeight w:val="2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Al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vertAlign w:val="subscript"/>
                <w:lang w:val="af-ZA"/>
              </w:rPr>
              <w:t>2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O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vertAlign w:val="subscript"/>
                <w:lang w:val="af-ZA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5.95%</w:t>
            </w:r>
          </w:p>
        </w:tc>
      </w:tr>
      <w:tr w:rsidR="004171B5" w:rsidRPr="008A760D" w:rsidTr="007A0043">
        <w:trPr>
          <w:trHeight w:val="2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Fe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vertAlign w:val="subscript"/>
                <w:lang w:val="af-ZA"/>
              </w:rPr>
              <w:t>2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O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vertAlign w:val="subscript"/>
                <w:lang w:val="af-ZA"/>
              </w:rPr>
              <w:t>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0.88%</w:t>
            </w:r>
          </w:p>
        </w:tc>
      </w:tr>
      <w:tr w:rsidR="004171B5" w:rsidRPr="008A760D" w:rsidTr="007A0043">
        <w:trPr>
          <w:trHeight w:val="2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CaO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0.10%</w:t>
            </w:r>
          </w:p>
        </w:tc>
      </w:tr>
      <w:tr w:rsidR="004171B5" w:rsidRPr="008A760D" w:rsidTr="007A0043">
        <w:trPr>
          <w:trHeight w:val="2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K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vertAlign w:val="subscript"/>
                <w:lang w:val="af-ZA"/>
              </w:rPr>
              <w:t>2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0.63%</w:t>
            </w:r>
          </w:p>
        </w:tc>
      </w:tr>
      <w:tr w:rsidR="004171B5" w:rsidRPr="008A760D" w:rsidTr="007A0043">
        <w:trPr>
          <w:trHeight w:val="2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MgO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0.20%</w:t>
            </w:r>
          </w:p>
        </w:tc>
      </w:tr>
      <w:tr w:rsidR="004171B5" w:rsidRPr="008A760D" w:rsidTr="007A0043">
        <w:trPr>
          <w:trHeight w:val="2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Na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vertAlign w:val="subscript"/>
                <w:lang w:val="af-ZA"/>
              </w:rPr>
              <w:t>2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0.32%</w:t>
            </w:r>
          </w:p>
        </w:tc>
      </w:tr>
      <w:tr w:rsidR="004171B5" w:rsidRPr="008A760D" w:rsidTr="007A0043">
        <w:trPr>
          <w:trHeight w:val="2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TiO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vertAlign w:val="subscript"/>
                <w:lang w:val="af-ZA"/>
              </w:rPr>
              <w:t>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0.29%</w:t>
            </w:r>
          </w:p>
        </w:tc>
      </w:tr>
      <w:tr w:rsidR="004171B5" w:rsidRPr="008A760D" w:rsidTr="007A0043">
        <w:trPr>
          <w:trHeight w:val="284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H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vertAlign w:val="subscript"/>
                <w:lang w:val="af-ZA"/>
              </w:rPr>
              <w:t>2</w:t>
            </w: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A50BD8">
            <w:pPr>
              <w:jc w:val="center"/>
              <w:rPr>
                <w:rFonts w:ascii="Arial" w:eastAsia="Arial Unicode MS" w:hAnsi="Arial" w:cs="Arial"/>
                <w:color w:val="008000"/>
                <w:sz w:val="18"/>
                <w:szCs w:val="18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18"/>
                <w:szCs w:val="18"/>
                <w:lang w:val="af-ZA"/>
              </w:rPr>
              <w:t>&lt;3%</w:t>
            </w:r>
          </w:p>
        </w:tc>
      </w:tr>
    </w:tbl>
    <w:p w:rsidR="004171B5" w:rsidRPr="008A760D" w:rsidRDefault="004171B5" w:rsidP="004171B5">
      <w:pPr>
        <w:rPr>
          <w:rFonts w:ascii="Arial" w:hAnsi="Arial" w:cs="Arial"/>
          <w:sz w:val="20"/>
          <w:lang w:val="af-ZA"/>
        </w:rPr>
      </w:pPr>
    </w:p>
    <w:tbl>
      <w:tblPr>
        <w:tblpPr w:leftFromText="180" w:rightFromText="180" w:vertAnchor="text" w:horzAnchor="margin" w:tblpY="-46"/>
        <w:tblW w:w="46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1800"/>
        <w:gridCol w:w="1620"/>
      </w:tblGrid>
      <w:tr w:rsidR="004171B5" w:rsidRPr="008A760D" w:rsidTr="00F34053">
        <w:trPr>
          <w:trHeight w:val="284"/>
        </w:trPr>
        <w:tc>
          <w:tcPr>
            <w:tcW w:w="46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71B5" w:rsidRPr="008A760D" w:rsidRDefault="00F34053" w:rsidP="007A00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af-ZA"/>
              </w:rPr>
            </w:pPr>
            <w:r w:rsidRPr="008A760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af-ZA"/>
              </w:rPr>
              <w:t>SPOORELEMENTE</w:t>
            </w:r>
            <w:r w:rsidR="004171B5" w:rsidRPr="008A760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af-ZA"/>
              </w:rPr>
              <w:t xml:space="preserve">/ </w:t>
            </w:r>
            <w:r w:rsidR="007A0043" w:rsidRPr="008A760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af-ZA"/>
              </w:rPr>
              <w:t>SWAAR METALE</w:t>
            </w:r>
            <w:r w:rsidR="004171B5" w:rsidRPr="008A760D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af-ZA"/>
              </w:rPr>
              <w:t xml:space="preserve"> (ppm)</w:t>
            </w:r>
          </w:p>
        </w:tc>
      </w:tr>
      <w:tr w:rsidR="004171B5" w:rsidRPr="008A760D" w:rsidTr="00F34053">
        <w:trPr>
          <w:trHeight w:val="284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71B5" w:rsidRPr="008A760D" w:rsidRDefault="004171B5" w:rsidP="00F34053">
            <w:pPr>
              <w:jc w:val="center"/>
              <w:rPr>
                <w:rFonts w:ascii="Arial" w:eastAsia="Arial Unicode MS" w:hAnsi="Arial" w:cs="Arial"/>
                <w:b/>
                <w:bCs/>
                <w:color w:val="008000"/>
                <w:sz w:val="20"/>
                <w:szCs w:val="20"/>
                <w:u w:val="single"/>
                <w:lang w:val="af-Z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1B5" w:rsidRPr="008A760D" w:rsidRDefault="00B2706E" w:rsidP="007A004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af-ZA"/>
              </w:rPr>
            </w:pPr>
            <w:r w:rsidRPr="008A760D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af-ZA"/>
              </w:rPr>
              <w:t>O</w:t>
            </w:r>
            <w:r w:rsidR="007A0043" w:rsidRPr="008A760D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af-ZA"/>
              </w:rPr>
              <w:t>ns</w:t>
            </w:r>
            <w:r w:rsidR="004171B5" w:rsidRPr="008A760D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af-ZA"/>
              </w:rPr>
              <w:t xml:space="preserve"> Produ</w:t>
            </w:r>
            <w:r w:rsidR="007A0043" w:rsidRPr="008A760D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af-ZA"/>
              </w:rPr>
              <w:t>k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71B5" w:rsidRPr="008A760D" w:rsidRDefault="004171B5" w:rsidP="007A004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af-ZA"/>
              </w:rPr>
            </w:pPr>
            <w:r w:rsidRPr="008A760D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af-ZA"/>
              </w:rPr>
              <w:t>FDA</w:t>
            </w:r>
            <w:r w:rsidR="007A0043" w:rsidRPr="008A760D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af-ZA"/>
              </w:rPr>
              <w:t>-perke</w:t>
            </w:r>
          </w:p>
        </w:tc>
      </w:tr>
      <w:tr w:rsidR="004171B5" w:rsidRPr="008A760D" w:rsidTr="00F34053">
        <w:trPr>
          <w:trHeight w:val="284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F34053">
            <w:pPr>
              <w:jc w:val="center"/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20"/>
                <w:szCs w:val="20"/>
                <w:lang w:val="af-ZA"/>
              </w:rPr>
              <w:t>Pb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F34053">
            <w:pPr>
              <w:jc w:val="center"/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20"/>
                <w:szCs w:val="20"/>
                <w:lang w:val="af-ZA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F34053">
            <w:pPr>
              <w:jc w:val="center"/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</w:pPr>
            <w:r w:rsidRPr="008A760D"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  <w:t>15</w:t>
            </w:r>
          </w:p>
        </w:tc>
      </w:tr>
      <w:tr w:rsidR="004171B5" w:rsidRPr="008A760D" w:rsidTr="00F34053">
        <w:trPr>
          <w:trHeight w:val="284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F34053">
            <w:pPr>
              <w:jc w:val="center"/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20"/>
                <w:szCs w:val="20"/>
                <w:lang w:val="af-ZA"/>
              </w:rPr>
              <w:t>As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F34053">
            <w:pPr>
              <w:jc w:val="center"/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20"/>
                <w:szCs w:val="20"/>
                <w:lang w:val="af-ZA"/>
              </w:rPr>
              <w:t>1.8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F34053">
            <w:pPr>
              <w:jc w:val="center"/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</w:pPr>
            <w:r w:rsidRPr="008A760D"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  <w:t>20</w:t>
            </w:r>
          </w:p>
        </w:tc>
      </w:tr>
      <w:tr w:rsidR="004171B5" w:rsidRPr="008A760D" w:rsidTr="00F34053">
        <w:trPr>
          <w:trHeight w:val="284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F34053">
            <w:pPr>
              <w:jc w:val="center"/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20"/>
                <w:szCs w:val="20"/>
                <w:lang w:val="af-ZA"/>
              </w:rPr>
              <w:t>F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F34053">
            <w:pPr>
              <w:jc w:val="center"/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</w:pPr>
            <w:r w:rsidRPr="008A760D">
              <w:rPr>
                <w:rFonts w:ascii="Arial" w:hAnsi="Arial" w:cs="Arial"/>
                <w:color w:val="008000"/>
                <w:sz w:val="20"/>
                <w:szCs w:val="20"/>
                <w:lang w:val="af-ZA"/>
              </w:rPr>
              <w:t>&lt;1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1B5" w:rsidRPr="008A760D" w:rsidRDefault="004171B5" w:rsidP="00F34053">
            <w:pPr>
              <w:jc w:val="center"/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</w:pPr>
            <w:r w:rsidRPr="008A760D">
              <w:rPr>
                <w:rFonts w:ascii="Arial" w:eastAsia="Arial Unicode MS" w:hAnsi="Arial" w:cs="Arial"/>
                <w:color w:val="008000"/>
                <w:sz w:val="20"/>
                <w:szCs w:val="20"/>
                <w:lang w:val="af-ZA"/>
              </w:rPr>
              <w:t>600</w:t>
            </w:r>
          </w:p>
        </w:tc>
      </w:tr>
    </w:tbl>
    <w:p w:rsidR="004171B5" w:rsidRPr="008A760D" w:rsidRDefault="004171B5" w:rsidP="004171B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lang w:val="af-ZA"/>
        </w:rPr>
      </w:pPr>
    </w:p>
    <w:p w:rsidR="00F7485D" w:rsidRPr="008A760D" w:rsidRDefault="007A0043" w:rsidP="007A0043">
      <w:pPr>
        <w:rPr>
          <w:lang w:val="af-ZA"/>
        </w:rPr>
      </w:pPr>
      <w:r w:rsidRPr="008A760D">
        <w:rPr>
          <w:lang w:val="af-ZA"/>
        </w:rPr>
        <w:t xml:space="preserve">Diatomiet is 'n sedimentêre gesteente wat </w:t>
      </w:r>
      <w:r w:rsidRPr="008A760D">
        <w:rPr>
          <w:lang w:val="af-ZA"/>
        </w:rPr>
        <w:t>bestaan uit</w:t>
      </w:r>
      <w:r w:rsidRPr="008A760D">
        <w:rPr>
          <w:lang w:val="af-ZA"/>
        </w:rPr>
        <w:t xml:space="preserve"> fossiele </w:t>
      </w:r>
      <w:r w:rsidRPr="008A760D">
        <w:rPr>
          <w:lang w:val="af-ZA"/>
        </w:rPr>
        <w:t>van</w:t>
      </w:r>
      <w:r w:rsidRPr="008A760D">
        <w:rPr>
          <w:lang w:val="af-ZA"/>
        </w:rPr>
        <w:t xml:space="preserve"> mikroskopies</w:t>
      </w:r>
      <w:r w:rsidRPr="008A760D">
        <w:rPr>
          <w:lang w:val="af-ZA"/>
        </w:rPr>
        <w:t xml:space="preserve"> klein</w:t>
      </w:r>
      <w:r w:rsidRPr="008A760D">
        <w:rPr>
          <w:lang w:val="af-ZA"/>
        </w:rPr>
        <w:t xml:space="preserve"> eensellige alge </w:t>
      </w:r>
      <w:r w:rsidRPr="008A760D">
        <w:rPr>
          <w:lang w:val="af-ZA"/>
        </w:rPr>
        <w:t xml:space="preserve">(diatome) </w:t>
      </w:r>
      <w:r w:rsidRPr="008A760D">
        <w:rPr>
          <w:lang w:val="af-ZA"/>
        </w:rPr>
        <w:t xml:space="preserve">met selwande wat met </w:t>
      </w:r>
      <w:r w:rsidRPr="008A760D">
        <w:rPr>
          <w:lang w:val="af-ZA"/>
        </w:rPr>
        <w:t xml:space="preserve">uit </w:t>
      </w:r>
      <w:r w:rsidRPr="008A760D">
        <w:rPr>
          <w:lang w:val="af-ZA"/>
        </w:rPr>
        <w:t>silika ge</w:t>
      </w:r>
      <w:r w:rsidRPr="008A760D">
        <w:rPr>
          <w:lang w:val="af-ZA"/>
        </w:rPr>
        <w:t>bou</w:t>
      </w:r>
      <w:r w:rsidRPr="008A760D">
        <w:rPr>
          <w:lang w:val="af-ZA"/>
        </w:rPr>
        <w:t xml:space="preserve"> is. </w:t>
      </w:r>
      <w:r w:rsidRPr="008A760D">
        <w:rPr>
          <w:lang w:val="af-ZA"/>
        </w:rPr>
        <w:t>Oor die eeue</w:t>
      </w:r>
      <w:r w:rsidRPr="008A760D">
        <w:rPr>
          <w:lang w:val="af-ZA"/>
        </w:rPr>
        <w:t xml:space="preserve"> is die diatome saamgepers om </w:t>
      </w:r>
      <w:r w:rsidRPr="008A760D">
        <w:rPr>
          <w:lang w:val="af-ZA"/>
        </w:rPr>
        <w:t>neerslae</w:t>
      </w:r>
      <w:r w:rsidRPr="008A760D">
        <w:rPr>
          <w:lang w:val="af-ZA"/>
        </w:rPr>
        <w:t xml:space="preserve"> te vorm wat </w:t>
      </w:r>
      <w:r w:rsidRPr="008A760D">
        <w:rPr>
          <w:lang w:val="af-ZA"/>
        </w:rPr>
        <w:t xml:space="preserve">met die BTE oog </w:t>
      </w:r>
      <w:r w:rsidRPr="008A760D">
        <w:rPr>
          <w:lang w:val="af-ZA"/>
        </w:rPr>
        <w:t>lyk soos kalk</w:t>
      </w:r>
      <w:r w:rsidRPr="008A760D">
        <w:rPr>
          <w:lang w:val="af-ZA"/>
        </w:rPr>
        <w:t>neerslae.</w:t>
      </w:r>
      <w:r w:rsidRPr="008A760D">
        <w:rPr>
          <w:lang w:val="af-ZA"/>
        </w:rPr>
        <w:t xml:space="preserve"> </w:t>
      </w:r>
      <w:r w:rsidRPr="008A760D">
        <w:rPr>
          <w:lang w:val="af-ZA"/>
        </w:rPr>
        <w:t>O</w:t>
      </w:r>
      <w:r w:rsidRPr="008A760D">
        <w:rPr>
          <w:lang w:val="af-ZA"/>
        </w:rPr>
        <w:t xml:space="preserve">nder 'n elektronmikroskoop </w:t>
      </w:r>
      <w:r w:rsidRPr="008A760D">
        <w:rPr>
          <w:lang w:val="af-ZA"/>
        </w:rPr>
        <w:t xml:space="preserve"> vertoon </w:t>
      </w:r>
      <w:r w:rsidRPr="008A760D">
        <w:rPr>
          <w:lang w:val="af-ZA"/>
        </w:rPr>
        <w:t>diatomie</w:t>
      </w:r>
      <w:r w:rsidR="00F7485D" w:rsidRPr="008A760D">
        <w:rPr>
          <w:lang w:val="af-ZA"/>
        </w:rPr>
        <w:t>t-</w:t>
      </w:r>
      <w:r w:rsidRPr="008A760D">
        <w:rPr>
          <w:lang w:val="af-ZA"/>
        </w:rPr>
        <w:t xml:space="preserve"> strukture </w:t>
      </w:r>
      <w:r w:rsidRPr="008A760D">
        <w:rPr>
          <w:lang w:val="af-ZA"/>
        </w:rPr>
        <w:t>kant</w:t>
      </w:r>
      <w:r w:rsidRPr="008A760D">
        <w:rPr>
          <w:lang w:val="af-ZA"/>
        </w:rPr>
        <w:t xml:space="preserve">werkpatrone van groot verskeidenheid </w:t>
      </w:r>
    </w:p>
    <w:p w:rsidR="007A0043" w:rsidRPr="008A760D" w:rsidRDefault="007A0043" w:rsidP="007A0043">
      <w:pPr>
        <w:rPr>
          <w:lang w:val="af-ZA"/>
        </w:rPr>
      </w:pPr>
      <w:r w:rsidRPr="008A760D">
        <w:rPr>
          <w:lang w:val="af-ZA"/>
        </w:rPr>
        <w:t xml:space="preserve">en kompleksiteit, </w:t>
      </w:r>
      <w:r w:rsidRPr="008A760D">
        <w:rPr>
          <w:lang w:val="af-ZA"/>
        </w:rPr>
        <w:t>me</w:t>
      </w:r>
      <w:r w:rsidRPr="008A760D">
        <w:rPr>
          <w:lang w:val="af-ZA"/>
        </w:rPr>
        <w:t>t 'n hoogs poreuse interne struktuur.</w:t>
      </w:r>
    </w:p>
    <w:p w:rsidR="007A0043" w:rsidRPr="008A760D" w:rsidRDefault="007A0043" w:rsidP="007A0043">
      <w:pPr>
        <w:rPr>
          <w:lang w:val="af-ZA"/>
        </w:rPr>
      </w:pPr>
    </w:p>
    <w:p w:rsidR="007A0043" w:rsidRPr="008A760D" w:rsidRDefault="007A0043" w:rsidP="007A0043">
      <w:pPr>
        <w:rPr>
          <w:lang w:val="af-ZA"/>
        </w:rPr>
      </w:pPr>
      <w:r w:rsidRPr="008A760D">
        <w:rPr>
          <w:lang w:val="af-ZA"/>
        </w:rPr>
        <w:t xml:space="preserve">Ons Melosira diatomiet is bekend vir </w:t>
      </w:r>
      <w:r w:rsidR="00F7485D" w:rsidRPr="008A760D">
        <w:rPr>
          <w:lang w:val="af-ZA"/>
        </w:rPr>
        <w:t>sy</w:t>
      </w:r>
      <w:r w:rsidRPr="008A760D">
        <w:rPr>
          <w:lang w:val="af-ZA"/>
        </w:rPr>
        <w:t xml:space="preserve"> homogene gehalte oor die hele myn.</w:t>
      </w:r>
    </w:p>
    <w:p w:rsidR="00B57A6B" w:rsidRPr="008A760D" w:rsidRDefault="007A0043" w:rsidP="00F7485D">
      <w:pPr>
        <w:rPr>
          <w:rFonts w:ascii="Arial" w:hAnsi="Arial" w:cs="Arial"/>
          <w:sz w:val="20"/>
          <w:lang w:val="af-ZA"/>
        </w:rPr>
      </w:pPr>
      <w:r w:rsidRPr="008A760D">
        <w:rPr>
          <w:lang w:val="af-ZA"/>
        </w:rPr>
        <w:t xml:space="preserve">Meng diatomiet in die grond </w:t>
      </w:r>
      <w:r w:rsidR="00F7485D" w:rsidRPr="008A760D">
        <w:rPr>
          <w:lang w:val="af-ZA"/>
        </w:rPr>
        <w:t xml:space="preserve">in </w:t>
      </w:r>
      <w:r w:rsidRPr="008A760D">
        <w:rPr>
          <w:lang w:val="af-ZA"/>
        </w:rPr>
        <w:t>waarin jy jou gewasse plant</w:t>
      </w:r>
      <w:r w:rsidR="00F7485D" w:rsidRPr="008A760D">
        <w:rPr>
          <w:lang w:val="af-ZA"/>
        </w:rPr>
        <w:t xml:space="preserve">. Daardeur </w:t>
      </w:r>
      <w:r w:rsidRPr="008A760D">
        <w:rPr>
          <w:lang w:val="af-ZA"/>
        </w:rPr>
        <w:t xml:space="preserve">sal </w:t>
      </w:r>
      <w:r w:rsidR="00F7485D" w:rsidRPr="008A760D">
        <w:rPr>
          <w:lang w:val="af-ZA"/>
        </w:rPr>
        <w:t xml:space="preserve">jy </w:t>
      </w:r>
      <w:r w:rsidRPr="008A760D">
        <w:rPr>
          <w:lang w:val="af-ZA"/>
        </w:rPr>
        <w:t>minerale terugbring in die grond en voedsel</w:t>
      </w:r>
      <w:r w:rsidR="00F7485D" w:rsidRPr="008A760D">
        <w:rPr>
          <w:lang w:val="af-ZA"/>
        </w:rPr>
        <w:t xml:space="preserve">gewasse </w:t>
      </w:r>
      <w:r w:rsidRPr="008A760D">
        <w:rPr>
          <w:lang w:val="af-ZA"/>
        </w:rPr>
        <w:t xml:space="preserve"> en</w:t>
      </w:r>
      <w:r w:rsidR="00F7485D" w:rsidRPr="008A760D">
        <w:rPr>
          <w:lang w:val="af-ZA"/>
        </w:rPr>
        <w:t xml:space="preserve"> jy sal sodoende ook</w:t>
      </w:r>
      <w:r w:rsidRPr="008A760D">
        <w:rPr>
          <w:lang w:val="af-ZA"/>
        </w:rPr>
        <w:t xml:space="preserve"> jou grondkwaliteit verbeter.</w:t>
      </w:r>
      <w:r w:rsidR="00F7485D" w:rsidRPr="008A760D">
        <w:rPr>
          <w:rFonts w:ascii="Arial" w:hAnsi="Arial" w:cs="Arial"/>
          <w:sz w:val="20"/>
          <w:lang w:val="af-ZA"/>
        </w:rPr>
        <w:t xml:space="preserve"> </w:t>
      </w:r>
    </w:p>
    <w:p w:rsidR="00B57A6B" w:rsidRDefault="00B57A6B" w:rsidP="002F14C5"/>
    <w:sectPr w:rsidR="00B57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49" w:rsidRDefault="00A75B49" w:rsidP="00B2706E">
      <w:r>
        <w:separator/>
      </w:r>
    </w:p>
  </w:endnote>
  <w:endnote w:type="continuationSeparator" w:id="0">
    <w:p w:rsidR="00A75B49" w:rsidRDefault="00A75B49" w:rsidP="00B2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49" w:rsidRDefault="00A75B49" w:rsidP="00B2706E">
      <w:r>
        <w:separator/>
      </w:r>
    </w:p>
  </w:footnote>
  <w:footnote w:type="continuationSeparator" w:id="0">
    <w:p w:rsidR="00A75B49" w:rsidRDefault="00A75B49" w:rsidP="00B2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5BDE"/>
    <w:multiLevelType w:val="hybridMultilevel"/>
    <w:tmpl w:val="532E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C4881"/>
    <w:multiLevelType w:val="multilevel"/>
    <w:tmpl w:val="979E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C5"/>
    <w:rsid w:val="00046A81"/>
    <w:rsid w:val="000E0B7E"/>
    <w:rsid w:val="00255EB4"/>
    <w:rsid w:val="002F14C5"/>
    <w:rsid w:val="004171B5"/>
    <w:rsid w:val="00417ABD"/>
    <w:rsid w:val="004F1265"/>
    <w:rsid w:val="00704030"/>
    <w:rsid w:val="007A0043"/>
    <w:rsid w:val="007C4493"/>
    <w:rsid w:val="008A760D"/>
    <w:rsid w:val="008F1430"/>
    <w:rsid w:val="00A75B49"/>
    <w:rsid w:val="00A93FB9"/>
    <w:rsid w:val="00B2706E"/>
    <w:rsid w:val="00B57A6B"/>
    <w:rsid w:val="00B9230A"/>
    <w:rsid w:val="00B9315A"/>
    <w:rsid w:val="00F34053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C5"/>
  </w:style>
  <w:style w:type="paragraph" w:styleId="Heading1">
    <w:name w:val="heading 1"/>
    <w:basedOn w:val="Normal"/>
    <w:next w:val="Normal"/>
    <w:link w:val="Heading1Char"/>
    <w:uiPriority w:val="9"/>
    <w:qFormat/>
    <w:rsid w:val="002F1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F14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C5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rsid w:val="002F14C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F14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70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7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4C5"/>
  </w:style>
  <w:style w:type="paragraph" w:styleId="Heading1">
    <w:name w:val="heading 1"/>
    <w:basedOn w:val="Normal"/>
    <w:next w:val="Normal"/>
    <w:link w:val="Heading1Char"/>
    <w:uiPriority w:val="9"/>
    <w:qFormat/>
    <w:rsid w:val="002F1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F14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C5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4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rsid w:val="002F14C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F14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70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27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6UJ3WYZM1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rticles.mercola.com/sites/articles/archive/2014/05/25/food-minerals-soil-healt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mercol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icles.mercola.com/sites/articles/archive/2014/05/25/food-minerals-soil-healt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3</cp:revision>
  <dcterms:created xsi:type="dcterms:W3CDTF">2018-02-13T08:37:00Z</dcterms:created>
  <dcterms:modified xsi:type="dcterms:W3CDTF">2018-02-13T12:35:00Z</dcterms:modified>
</cp:coreProperties>
</file>